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double" w:color="0070C0" w:sz="12" w:space="1"/>
        </w:pBdr>
        <w:shd w:fill="FFFFFF" w:val="clear"/>
        <w:spacing w:after="200" w:before="400"/>
        <w:jc w:val="center"/>
      </w:pPr>
      <w:r>
        <w:rPr>
          <w:b/>
          <w:bCs/>
          <w:color w:val="0070C0"/>
          <w:sz w:val="56"/>
          <w:szCs w:val="56"/>
        </w:rPr>
        <w:t xml:space="preserve">🔷 GST RECONCILIATION PRO 🔷</w:t>
      </w:r>
    </w:p>
    <w:p>
      <w:pPr>
        <w:spacing w:after="100"/>
        <w:jc w:val="center"/>
      </w:pPr>
      <w:r>
        <w:rPr>
          <w:b/>
          <w:bCs/>
          <w:color w:val="70AD47"/>
          <w:sz w:val="28"/>
          <w:szCs w:val="28"/>
        </w:rPr>
        <w:t xml:space="preserve">Enterprise Compliance &amp; Automation Platform</w:t>
      </w:r>
    </w:p>
    <w:p>
      <w:pPr>
        <w:spacing w:after="100"/>
        <w:jc w:val="center"/>
      </w:pPr>
      <w:r>
        <w:rPr>
          <w:color w:val="666666"/>
          <w:sz w:val="22"/>
          <w:szCs w:val="22"/>
        </w:rPr>
        <w:t xml:space="preserve">Complete User Guide | Feature Reference | Workflow Documentation</w:t>
      </w:r>
    </w:p>
    <w:p>
      <w:pPr>
        <w:shd w:fill="D9E8F5" w:val="clear"/>
        <w:spacing w:after="100" w:before="200"/>
        <w:jc w:val="center"/>
      </w:pPr>
      <w:r>
        <w:rPr>
          <w:b/>
          <w:bCs/>
          <w:color w:val="1F4E78"/>
          <w:sz w:val="24"/>
          <w:szCs w:val="24"/>
        </w:rPr>
        <w:t xml:space="preserve">Version 4.0 Premium Edition</w:t>
      </w:r>
    </w:p>
    <w:p>
      <w:pPr>
        <w:spacing w:after="200"/>
        <w:jc w:val="center"/>
      </w:pPr>
      <w:r>
        <w:rPr>
          <w:b/>
          <w:bCs/>
          <w:color w:val="FF6D00"/>
          <w:sz w:val="20"/>
          <w:szCs w:val="20"/>
        </w:rPr>
        <w:t xml:space="preserve">Updated: June 2026</w:t>
      </w:r>
    </w:p>
    <w:p>
      <w:r>
        <w:br w:type="page"/>
      </w:r>
    </w:p>
    <w:p>
      <w:pPr>
        <w:pStyle w:val="Heading1"/>
        <w:shd w:fill="70AD47" w:val="clear"/>
      </w:pPr>
      <w:r>
        <w:rPr>
          <w:color w:val="FFFFFF"/>
        </w:rPr>
        <w:t xml:space="preserve">✨ WHAT YOU GET</w:t>
      </w:r>
    </w:p>
    <w:p>
      <w:pPr>
        <w:spacing w:after="20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70AD47" w:sz="6"/>
              <w:left w:val="single" w:color="70AD47" w:sz="1"/>
              <w:bottom w:val="double" w:color="70AD47" w:sz="6"/>
              <w:right w:val="single" w:color="70AD47" w:sz="1"/>
            </w:tcBorders>
            <w:shd w:fill="E2EFD9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color w:val="70AD47"/>
                <w:sz w:val="26"/>
                <w:szCs w:val="26"/>
              </w:rPr>
              <w:t xml:space="preserve">🎯 Complete Reconciliation</w:t>
            </w:r>
          </w:p>
          <w:p>
            <w:pPr>
              <w:spacing w:after="100"/>
            </w:pPr>
            <w:r>
              <w:rPr>
                <w:sz w:val="22"/>
                <w:szCs w:val="22"/>
              </w:rPr>
              <w:t xml:space="preserve">Match your books with GST Portal filings automatically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70AD47" w:sz="6"/>
              <w:left w:val="single" w:color="70AD47" w:sz="1"/>
              <w:bottom w:val="double" w:color="70AD47" w:sz="6"/>
              <w:right w:val="single" w:color="70AD47" w:sz="1"/>
            </w:tcBorders>
            <w:shd w:fill="E2EFD9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color w:val="70AD47"/>
                <w:sz w:val="26"/>
                <w:szCs w:val="26"/>
              </w:rPr>
              <w:t xml:space="preserve">⚡ Tier 1 &amp; Tier 2 Automation</w:t>
            </w:r>
          </w:p>
          <w:p>
            <w:pPr>
              <w:spacing w:after="100"/>
            </w:pPr>
            <w:r>
              <w:rPr>
                <w:sz w:val="22"/>
                <w:szCs w:val="22"/>
              </w:rPr>
              <w:t xml:space="preserve">From basic auto-sync to AI-powered compliance chat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70AD47" w:sz="6"/>
              <w:left w:val="single" w:color="70AD47" w:sz="1"/>
              <w:bottom w:val="double" w:color="70AD47" w:sz="6"/>
              <w:right w:val="single" w:color="70AD47" w:sz="1"/>
            </w:tcBorders>
            <w:shd w:fill="E2EFD9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color w:val="70AD47"/>
                <w:sz w:val="26"/>
                <w:szCs w:val="26"/>
              </w:rPr>
              <w:t xml:space="preserve">🔍 Risk Intelligence</w:t>
            </w:r>
          </w:p>
          <w:p>
            <w:pPr>
              <w:spacing w:after="100"/>
            </w:pPr>
            <w:r>
              <w:rPr>
                <w:sz w:val="22"/>
                <w:szCs w:val="22"/>
              </w:rPr>
              <w:t xml:space="preserve">AI detects compliance risks before they become problems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70AD47" w:sz="6"/>
              <w:left w:val="single" w:color="70AD47" w:sz="1"/>
              <w:bottom w:val="double" w:color="70AD47" w:sz="6"/>
              <w:right w:val="single" w:color="70AD47" w:sz="1"/>
            </w:tcBorders>
            <w:shd w:fill="E2EFD9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color w:val="70AD47"/>
                <w:sz w:val="26"/>
                <w:szCs w:val="26"/>
              </w:rPr>
              <w:t xml:space="preserve">📊 20+ Advanced Reports</w:t>
            </w:r>
          </w:p>
          <w:p>
            <w:pPr>
              <w:spacing w:after="100"/>
            </w:pPr>
            <w:r>
              <w:rPr>
                <w:sz w:val="22"/>
                <w:szCs w:val="22"/>
              </w:rPr>
              <w:t xml:space="preserve">Detailed analytics for audit readiness and compliance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70AD47" w:sz="6"/>
              <w:left w:val="single" w:color="70AD47" w:sz="1"/>
              <w:bottom w:val="double" w:color="70AD47" w:sz="6"/>
              <w:right w:val="single" w:color="70AD47" w:sz="1"/>
            </w:tcBorders>
            <w:shd w:fill="E2EFD9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color w:val="70AD47"/>
                <w:sz w:val="26"/>
                <w:szCs w:val="26"/>
              </w:rPr>
              <w:t xml:space="preserve">🏪 Vendor Management</w:t>
            </w:r>
          </w:p>
          <w:p>
            <w:pPr>
              <w:spacing w:after="100"/>
            </w:pPr>
            <w:r>
              <w:rPr>
                <w:sz w:val="22"/>
                <w:szCs w:val="22"/>
              </w:rPr>
              <w:t xml:space="preserve">Scorecard and health tracking for supplier compliance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70AD47" w:sz="6"/>
              <w:left w:val="single" w:color="70AD47" w:sz="1"/>
              <w:bottom w:val="double" w:color="70AD47" w:sz="6"/>
              <w:right w:val="single" w:color="70AD47" w:sz="1"/>
            </w:tcBorders>
            <w:shd w:fill="E2EFD9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color w:val="70AD47"/>
                <w:sz w:val="26"/>
                <w:szCs w:val="26"/>
              </w:rPr>
              <w:t xml:space="preserve">📄 GSTR-9 &amp; GSTR-9C</w:t>
            </w:r>
          </w:p>
          <w:p>
            <w:pPr>
              <w:spacing w:after="100"/>
            </w:pPr>
            <w:r>
              <w:rPr>
                <w:sz w:val="22"/>
                <w:szCs w:val="22"/>
              </w:rPr>
              <w:t xml:space="preserve">Annual filing preparation with full reconciliation support</w:t>
            </w:r>
          </w:p>
        </w:tc>
      </w:tr>
    </w:tbl>
    <w:p>
      <w:r>
        <w:br w:type="page"/>
      </w:r>
    </w:p>
    <w:p>
      <w:pPr>
        <w:pStyle w:val="Heading1"/>
        <w:shd w:fill="FF6D00" w:val="clear"/>
      </w:pPr>
      <w:r>
        <w:rPr>
          <w:color w:val="FFFFFF"/>
        </w:rPr>
        <w:t xml:space="preserve">📍 QUICK NAVIGATION</w:t>
      </w:r>
    </w:p>
    <w:p>
      <w:pPr>
        <w:spacing w:after="30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50"/>
            </w:pPr>
            <w:r>
              <w:rPr>
                <w:b/>
                <w:bCs/>
                <w:color w:val="1F4E78"/>
                <w:sz w:val="24"/>
                <w:szCs w:val="24"/>
              </w:rPr>
              <w:t xml:space="preserve">1️⃣ Core Features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t xml:space="preserve">Outward Tax Cycle (Sales)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t xml:space="preserve">Inward Tax Cycle (Purchases)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t xml:space="preserve">Monthly Reconciliation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2EFD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50"/>
            </w:pPr>
            <w:r>
              <w:rPr>
                <w:b/>
                <w:bCs/>
                <w:color w:val="1F4E78"/>
                <w:sz w:val="24"/>
                <w:szCs w:val="24"/>
              </w:rPr>
              <w:t xml:space="preserve">2️⃣ Advanced Tools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t xml:space="preserve">GSTR-9 &amp; GSTR-9C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t xml:space="preserve">Risk Intelligence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t xml:space="preserve">Compliance Dashboard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CE4D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50"/>
            </w:pPr>
            <w:r>
              <w:rPr>
                <w:b/>
                <w:bCs/>
                <w:color w:val="1F4E78"/>
                <w:sz w:val="24"/>
                <w:szCs w:val="24"/>
              </w:rPr>
              <w:t xml:space="preserve">3️⃣ Automation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t xml:space="preserve">Tier 1: Auto-Sync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t xml:space="preserve">Tier 2: AI Assistant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t xml:space="preserve">Batch Processing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CC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50"/>
            </w:pPr>
            <w:r>
              <w:rPr>
                <w:b/>
                <w:bCs/>
                <w:color w:val="1F4E78"/>
                <w:sz w:val="24"/>
                <w:szCs w:val="24"/>
              </w:rPr>
              <w:t xml:space="preserve">4️⃣ Reporting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t xml:space="preserve">Reconciliation Reports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t xml:space="preserve">Vendor Scorecard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t xml:space="preserve">Analytics Dashboard</w:t>
            </w:r>
          </w:p>
        </w:tc>
      </w:tr>
    </w:tbl>
    <w:p>
      <w:r>
        <w:br w:type="page"/>
      </w:r>
    </w:p>
    <w:p>
      <w:pPr>
        <w:pStyle w:val="Heading1"/>
        <w:shd w:fill="0070C0" w:val="clear"/>
      </w:pPr>
      <w:r>
        <w:rPr>
          <w:color w:val="FFFFFF"/>
        </w:rPr>
        <w:t xml:space="preserve">📋 SECTION 1: CORE FEATURES</w:t>
      </w:r>
    </w:p>
    <w:p>
      <w:pPr>
        <w:pStyle w:val="Heading2"/>
      </w:pPr>
      <w:r>
        <w:t xml:space="preserve">1.1 Outward Tax Cycle (Sales)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left w:val="single" w:color="0070C0" w:sz="12"/>
            </w:tcBorders>
            <w:shd w:fill="FCE4D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50"/>
            </w:pPr>
            <w:r>
              <w:rPr>
                <w:color w:val="333333"/>
                <w:sz w:val="22"/>
                <w:szCs w:val="22"/>
              </w:rPr>
              <w:t xml:space="preserve">Upload your sales register, credit notes, debit notes, and GSTR-1 filing data. The system automatically reconciles and identifies discrepancies.</w:t>
            </w:r>
          </w:p>
        </w:tc>
      </w:tr>
    </w:tbl>
    <w:p>
      <w:pPr>
        <w:spacing w:after="100" w:before="100"/>
      </w:pPr>
      <w:r>
        <w:rPr>
          <w:b/>
          <w:bCs/>
          <w:color w:val="70AD47"/>
          <w:sz w:val="24"/>
          <w:szCs w:val="24"/>
        </w:rPr>
        <w:t xml:space="preserve">What You Can Do:</w:t>
      </w:r>
    </w:p>
    <w:p>
      <w:pPr>
        <w:pStyle w:val="ListParagraph"/>
        <w:numPr>
          <w:ilvl w:val="0"/>
          <w:numId w:val="2"/>
        </w:numPr>
      </w:pPr>
      <w:r>
        <w:t xml:space="preserve">Upload sales registers in CSV or Excel format</w:t>
      </w:r>
    </w:p>
    <w:p>
      <w:pPr>
        <w:pStyle w:val="ListParagraph"/>
        <w:numPr>
          <w:ilvl w:val="0"/>
          <w:numId w:val="2"/>
        </w:numPr>
      </w:pPr>
      <w:r>
        <w:t xml:space="preserve">Import GSTR-1 JSON directly from GST Portal</w:t>
      </w:r>
    </w:p>
    <w:p>
      <w:pPr>
        <w:pStyle w:val="ListParagraph"/>
        <w:numPr>
          <w:ilvl w:val="0"/>
          <w:numId w:val="2"/>
        </w:numPr>
      </w:pPr>
      <w:r>
        <w:t xml:space="preserve">Track credit and debit note impacts</w:t>
      </w:r>
    </w:p>
    <w:p>
      <w:pPr>
        <w:pStyle w:val="ListParagraph"/>
        <w:numPr>
          <w:ilvl w:val="0"/>
          <w:numId w:val="2"/>
        </w:numPr>
        <w:spacing w:after="200"/>
      </w:pPr>
      <w:r>
        <w:t xml:space="preserve">Identify missing or mismatched invoices instantly</w:t>
      </w:r>
    </w:p>
    <w:p>
      <w:pPr>
        <w:pStyle w:val="Heading2"/>
      </w:pPr>
      <w:r>
        <w:t xml:space="preserve">1.2 Inward Tax Cycle (Purchases)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left w:val="single" w:color="0070C0" w:sz="12"/>
            </w:tcBorders>
            <w:shd w:fill="E2EFD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50"/>
            </w:pPr>
            <w:r>
              <w:rPr>
                <w:color w:val="333333"/>
                <w:sz w:val="22"/>
                <w:szCs w:val="22"/>
              </w:rPr>
              <w:t xml:space="preserve">Track all purchases and input tax credits. Compare your books with GSTR-2B for complete ITC verification.</w:t>
            </w:r>
          </w:p>
        </w:tc>
      </w:tr>
    </w:tbl>
    <w:p>
      <w:pPr>
        <w:spacing w:after="100" w:before="100"/>
      </w:pPr>
      <w:r>
        <w:rPr>
          <w:b/>
          <w:bCs/>
          <w:color w:val="70AD47"/>
          <w:sz w:val="24"/>
          <w:szCs w:val="24"/>
        </w:rPr>
        <w:t xml:space="preserve">What You Can Do:</w:t>
      </w:r>
    </w:p>
    <w:p>
      <w:pPr>
        <w:pStyle w:val="ListParagraph"/>
        <w:numPr>
          <w:ilvl w:val="0"/>
          <w:numId w:val="2"/>
        </w:numPr>
      </w:pPr>
      <w:r>
        <w:t xml:space="preserve">Upload purchase registers and track all inbound supplies</w:t>
      </w:r>
    </w:p>
    <w:p>
      <w:pPr>
        <w:pStyle w:val="ListParagraph"/>
        <w:numPr>
          <w:ilvl w:val="0"/>
          <w:numId w:val="2"/>
        </w:numPr>
      </w:pPr>
      <w:r>
        <w:t xml:space="preserve">Import GSTR-2B for eligible ITC matching</w:t>
      </w:r>
    </w:p>
    <w:p>
      <w:pPr>
        <w:pStyle w:val="ListParagraph"/>
        <w:numPr>
          <w:ilvl w:val="0"/>
          <w:numId w:val="2"/>
        </w:numPr>
      </w:pPr>
      <w:r>
        <w:t xml:space="preserve">Verify vendor GSTIN and compliance status</w:t>
      </w:r>
    </w:p>
    <w:p>
      <w:pPr>
        <w:pStyle w:val="ListParagraph"/>
        <w:numPr>
          <w:ilvl w:val="0"/>
          <w:numId w:val="2"/>
        </w:numPr>
        <w:spacing w:after="200"/>
      </w:pPr>
      <w:r>
        <w:t xml:space="preserve">Identify blocked ITC and Rule 42 violations</w:t>
      </w:r>
    </w:p>
    <w:p>
      <w:r>
        <w:br w:type="page"/>
      </w:r>
    </w:p>
    <w:p>
      <w:pPr>
        <w:pStyle w:val="Heading1"/>
        <w:shd w:fill="7030A0" w:val="clear"/>
      </w:pPr>
      <w:r>
        <w:rPr>
          <w:color w:val="FFFFFF"/>
        </w:rPr>
        <w:t xml:space="preserve">🔄 SECTION 2: RECONCILIATION SCREENS</w:t>
      </w:r>
    </w:p>
    <w:p>
      <w:pPr>
        <w:pStyle w:val="Heading2"/>
      </w:pPr>
      <w:r>
        <w:t xml:space="preserve">2.1 Available Reconciliation Tools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7020"/>
      </w:tblGrid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7030A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Screen</w:t>
            </w:r>
          </w:p>
        </w:tc>
        <w:tc>
          <w:tcPr>
            <w:tcW w:type="dxa" w:w="70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7030A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Purpose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CC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Sales Recon</w:t>
            </w:r>
          </w:p>
        </w:tc>
        <w:tc>
          <w:tcPr>
            <w:tcW w:type="dxa" w:w="70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CC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Match sales register with GSTR-1 filings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Sales Header Recon</w:t>
            </w:r>
          </w:p>
        </w:tc>
        <w:tc>
          <w:tcPr>
            <w:tcW w:type="dxa" w:w="70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Verify GSTR-1 header totals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CC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Purchase Header Recon</w:t>
            </w:r>
          </w:p>
        </w:tc>
        <w:tc>
          <w:tcPr>
            <w:tcW w:type="dxa" w:w="70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CC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Check GSTR-2B header totals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Prior Period Recon</w:t>
            </w:r>
          </w:p>
        </w:tc>
        <w:tc>
          <w:tcPr>
            <w:tcW w:type="dxa" w:w="70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Reconcile invoices from previous periods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CC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GSTR-1 vs 3B</w:t>
            </w:r>
          </w:p>
        </w:tc>
        <w:tc>
          <w:tcPr>
            <w:tcW w:type="dxa" w:w="70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CC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Cross-check GSTR-1 vs GSTR-3B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ITC 2B vs 3B</w:t>
            </w:r>
          </w:p>
        </w:tc>
        <w:tc>
          <w:tcPr>
            <w:tcW w:type="dxa" w:w="70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Match GSTR-2B ITC with GSTR-3B claims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CC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CDN/DN Recon</w:t>
            </w:r>
          </w:p>
        </w:tc>
        <w:tc>
          <w:tcPr>
            <w:tcW w:type="dxa" w:w="70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CC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Reconcile Credit &amp; Debit Notes</w:t>
            </w:r>
          </w:p>
        </w:tc>
      </w:tr>
    </w:tbl>
    <w:p>
      <w:pPr>
        <w:spacing w:after="200"/>
      </w:pPr>
      <w:r>
        <w:t xml:space="preserve"/>
      </w:r>
    </w:p>
    <w:p>
      <w:r>
        <w:br w:type="page"/>
      </w:r>
    </w:p>
    <w:p>
      <w:pPr>
        <w:pStyle w:val="Heading1"/>
        <w:shd w:fill="E74C3C" w:val="clear"/>
      </w:pPr>
      <w:r>
        <w:rPr>
          <w:color w:val="FFFFFF"/>
        </w:rPr>
        <w:t xml:space="preserve">⚙️ SECTION 3: ADVANCED FEATURES</w:t>
      </w:r>
    </w:p>
    <w:p>
      <w:pPr>
        <w:pStyle w:val="Heading2"/>
      </w:pPr>
      <w:r>
        <w:t xml:space="preserve">3.1 GSTR-9 &amp; GSTR-9C Annual Filing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left w:val="single" w:color="0070C0" w:sz="12"/>
            </w:tcBorders>
            <w:shd w:fill="F2DCD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50"/>
            </w:pPr>
            <w:r>
              <w:rPr>
                <w:color w:val="333333"/>
                <w:sz w:val="22"/>
                <w:szCs w:val="22"/>
              </w:rPr>
              <w:t xml:space="preserve">Prepare your annual returns with complete reconciliation data. The platform automatically aggregates monthly reconciliation for GSTR-9 and generates audit-ready GSTR-9C statements.</w:t>
            </w:r>
          </w:p>
        </w:tc>
      </w:tr>
    </w:tbl>
    <w:p>
      <w:pPr>
        <w:pStyle w:val="ListParagraph"/>
        <w:numPr>
          <w:ilvl w:val="0"/>
          <w:numId w:val="2"/>
        </w:numPr>
      </w:pPr>
      <w:r>
        <w:t xml:space="preserve">GSTR-9 Preview: See exactly what will be filed before submission</w:t>
      </w:r>
    </w:p>
    <w:p>
      <w:pPr>
        <w:pStyle w:val="ListParagraph"/>
        <w:numPr>
          <w:ilvl w:val="0"/>
          <w:numId w:val="2"/>
        </w:numPr>
      </w:pPr>
      <w:r>
        <w:t xml:space="preserve">GSTR-9C: Complete reconciliation statement with audit trail</w:t>
      </w:r>
    </w:p>
    <w:p>
      <w:pPr>
        <w:pStyle w:val="ListParagraph"/>
        <w:numPr>
          <w:ilvl w:val="0"/>
          <w:numId w:val="2"/>
        </w:numPr>
      </w:pPr>
      <w:r>
        <w:t xml:space="preserve">Annual Summary: Aggregate all monthly reconciliation data</w:t>
      </w:r>
    </w:p>
    <w:p>
      <w:pPr>
        <w:pStyle w:val="ListParagraph"/>
        <w:numPr>
          <w:ilvl w:val="0"/>
          <w:numId w:val="2"/>
        </w:numPr>
        <w:spacing w:after="200"/>
      </w:pPr>
      <w:r>
        <w:t xml:space="preserve">Compliance Deadline Tracker: Never miss filing deadlines</w:t>
      </w:r>
    </w:p>
    <w:p>
      <w:pPr>
        <w:pStyle w:val="Heading2"/>
      </w:pPr>
      <w:r>
        <w:t xml:space="preserve">3.2 Risk Intelligence Hub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left w:val="single" w:color="0070C0" w:sz="12"/>
            </w:tcBorders>
            <w:shd w:fill="F4CC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50"/>
            </w:pPr>
            <w:r>
              <w:rPr>
                <w:color w:val="333333"/>
                <w:sz w:val="22"/>
                <w:szCs w:val="22"/>
              </w:rPr>
              <w:t xml:space="preserve">AI-powered risk detection for tax compliance. Get instant alerts for potential violations, ITC blocking risks, and vendor compliance issues.</w:t>
            </w:r>
          </w:p>
        </w:tc>
      </w:tr>
    </w:tbl>
    <w:p>
      <w:pPr>
        <w:pStyle w:val="ListParagraph"/>
        <w:numPr>
          <w:ilvl w:val="0"/>
          <w:numId w:val="2"/>
        </w:numPr>
      </w:pPr>
      <w:r>
        <w:t xml:space="preserve">🔴 High Risk: Potential GST violations needing immediate action</w:t>
      </w:r>
    </w:p>
    <w:p>
      <w:pPr>
        <w:pStyle w:val="ListParagraph"/>
        <w:numPr>
          <w:ilvl w:val="0"/>
          <w:numId w:val="2"/>
        </w:numPr>
      </w:pPr>
      <w:r>
        <w:t xml:space="preserve">🟡 Medium Risk: Issues that could become problems</w:t>
      </w:r>
    </w:p>
    <w:p>
      <w:pPr>
        <w:pStyle w:val="ListParagraph"/>
        <w:numPr>
          <w:ilvl w:val="0"/>
          <w:numId w:val="2"/>
        </w:numPr>
        <w:spacing w:after="200"/>
      </w:pPr>
      <w:r>
        <w:t xml:space="preserve">🟢 Low Risk: Minor items requiring monitoring</w:t>
      </w:r>
    </w:p>
    <w:p>
      <w:pPr>
        <w:pStyle w:val="Heading2"/>
      </w:pPr>
      <w:r>
        <w:t xml:space="preserve">3.3 Vendor Management &amp; Scorecard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left w:val="single" w:color="0070C0" w:sz="12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50"/>
            </w:pPr>
            <w:r>
              <w:rPr>
                <w:color w:val="333333"/>
                <w:sz w:val="22"/>
                <w:szCs w:val="22"/>
              </w:rPr>
              <w:t xml:space="preserve">Track supplier compliance with comprehensive vendor analytics and health scoring.</w:t>
            </w:r>
          </w:p>
        </w:tc>
      </w:tr>
    </w:tbl>
    <w:p>
      <w:pPr>
        <w:pStyle w:val="ListParagraph"/>
        <w:numPr>
          <w:ilvl w:val="0"/>
          <w:numId w:val="2"/>
        </w:numPr>
      </w:pPr>
      <w:r>
        <w:t xml:space="preserve">Vendor Scorecard: Credit rating and compliance assessment</w:t>
      </w:r>
    </w:p>
    <w:p>
      <w:pPr>
        <w:pStyle w:val="ListParagraph"/>
        <w:numPr>
          <w:ilvl w:val="0"/>
          <w:numId w:val="2"/>
        </w:numPr>
      </w:pPr>
      <w:r>
        <w:t xml:space="preserve">Vendor Health Score: Risk prediction based on filing patterns</w:t>
      </w:r>
    </w:p>
    <w:p>
      <w:pPr>
        <w:pStyle w:val="ListParagraph"/>
        <w:numPr>
          <w:ilvl w:val="0"/>
          <w:numId w:val="2"/>
        </w:numPr>
      </w:pPr>
      <w:r>
        <w:t xml:space="preserve">HSN Summary: Product-wise purchase breakdown</w:t>
      </w:r>
    </w:p>
    <w:p>
      <w:pPr>
        <w:pStyle w:val="ListParagraph"/>
        <w:numPr>
          <w:ilvl w:val="0"/>
          <w:numId w:val="2"/>
        </w:numPr>
        <w:spacing w:after="200"/>
      </w:pPr>
      <w:r>
        <w:t xml:space="preserve">Non-Filing Alerts: Identify vendors who stop filing GSTR</w:t>
      </w:r>
    </w:p>
    <w:p>
      <w:r>
        <w:br w:type="page"/>
      </w:r>
    </w:p>
    <w:p>
      <w:pPr>
        <w:pStyle w:val="Heading1"/>
        <w:shd w:fill="00B0F0" w:val="clear"/>
      </w:pPr>
      <w:r>
        <w:rPr>
          <w:color w:val="FFFFFF"/>
        </w:rPr>
        <w:t xml:space="preserve">🤖 SECTION 4: AUTOMATION &amp; AI</w:t>
      </w:r>
    </w:p>
    <w:p>
      <w:pPr>
        <w:pStyle w:val="Heading2"/>
      </w:pPr>
      <w:r>
        <w:t xml:space="preserve">4.1 Tier 1 Automation - Auto-Sync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left w:val="single" w:color="0070C0" w:sz="12"/>
            </w:tcBorders>
            <w:shd w:fill="E2EFD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50"/>
            </w:pPr>
            <w:r>
              <w:rPr>
                <w:color w:val="333333"/>
                <w:sz w:val="22"/>
                <w:szCs w:val="22"/>
              </w:rPr>
              <w:t xml:space="preserve">Automatic synchronization with GST Portal. No manual GSTR downloads needed—the system pulls data automatically every month.</w:t>
            </w:r>
          </w:p>
        </w:tc>
      </w:tr>
    </w:tbl>
    <w:p>
      <w:pPr>
        <w:pStyle w:val="ListParagraph"/>
        <w:numPr>
          <w:ilvl w:val="0"/>
          <w:numId w:val="2"/>
        </w:numPr>
      </w:pPr>
      <w:r>
        <w:t xml:space="preserve">✅ Portal Auto-Sync: Monthly automatic GSTR download</w:t>
      </w:r>
    </w:p>
    <w:p>
      <w:pPr>
        <w:pStyle w:val="ListParagraph"/>
        <w:numPr>
          <w:ilvl w:val="0"/>
          <w:numId w:val="2"/>
        </w:numPr>
      </w:pPr>
      <w:r>
        <w:t xml:space="preserve">✅ Alert Dashboard: Real-time filing deadline alerts</w:t>
      </w:r>
    </w:p>
    <w:p>
      <w:pPr>
        <w:pStyle w:val="ListParagraph"/>
        <w:numPr>
          <w:ilvl w:val="0"/>
          <w:numId w:val="2"/>
        </w:numPr>
      </w:pPr>
      <w:r>
        <w:t xml:space="preserve">✅ Report Scheduler: Automated monthly report generation</w:t>
      </w:r>
    </w:p>
    <w:p>
      <w:pPr>
        <w:pStyle w:val="ListParagraph"/>
        <w:numPr>
          <w:ilvl w:val="0"/>
          <w:numId w:val="2"/>
        </w:numPr>
        <w:spacing w:after="200"/>
      </w:pPr>
      <w:r>
        <w:t xml:space="preserve">✅ Audit Trail: Complete logging for compliance verification</w:t>
      </w:r>
    </w:p>
    <w:p>
      <w:pPr>
        <w:pStyle w:val="Heading2"/>
      </w:pPr>
      <w:r>
        <w:t xml:space="preserve">4.2 Tier 2 Automation - AI Intelligence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left w:val="single" w:color="0070C0" w:sz="12"/>
            </w:tcBorders>
            <w:shd w:fill="F4CC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50"/>
            </w:pPr>
            <w:r>
              <w:rPr>
                <w:color w:val="333333"/>
                <w:sz w:val="22"/>
                <w:szCs w:val="22"/>
              </w:rPr>
              <w:t xml:space="preserve">Advanced AI-powered features including Claude AI integration for intelligent compliance assistance.</w:t>
            </w:r>
          </w:p>
        </w:tc>
      </w:tr>
    </w:tbl>
    <w:p>
      <w:pPr>
        <w:pStyle w:val="ListParagraph"/>
        <w:numPr>
          <w:ilvl w:val="0"/>
          <w:numId w:val="2"/>
        </w:numPr>
      </w:pPr>
      <w:r>
        <w:t xml:space="preserve">💡 Compliance Chat: Ask Claude AI about GST rules and get instant answers</w:t>
      </w:r>
    </w:p>
    <w:p>
      <w:pPr>
        <w:pStyle w:val="ListParagraph"/>
        <w:numPr>
          <w:ilvl w:val="0"/>
          <w:numId w:val="2"/>
        </w:numPr>
      </w:pPr>
      <w:r>
        <w:t xml:space="preserve">🔄 Batch Processing: Process multiple GSTINs simultaneously</w:t>
      </w:r>
    </w:p>
    <w:p>
      <w:pPr>
        <w:pStyle w:val="ListParagraph"/>
        <w:numPr>
          <w:ilvl w:val="0"/>
          <w:numId w:val="2"/>
        </w:numPr>
      </w:pPr>
      <w:r>
        <w:t xml:space="preserve">📈 Anomaly Detection: AI identifies unusual patterns in your data</w:t>
      </w:r>
    </w:p>
    <w:p>
      <w:pPr>
        <w:pStyle w:val="ListParagraph"/>
        <w:numPr>
          <w:ilvl w:val="0"/>
          <w:numId w:val="2"/>
        </w:numPr>
        <w:spacing w:after="200"/>
      </w:pPr>
      <w:r>
        <w:t xml:space="preserve">🎯 Predictive Alerts: Get ahead of compliance issues before they occur</w:t>
      </w:r>
    </w:p>
    <w:p>
      <w:r>
        <w:br w:type="page"/>
      </w:r>
    </w:p>
    <w:p>
      <w:pPr>
        <w:pStyle w:val="Heading1"/>
        <w:shd w:fill="FFC000" w:val="clear"/>
      </w:pPr>
      <w:r>
        <w:rPr>
          <w:color w:val="1F4E78"/>
        </w:rPr>
        <w:t xml:space="preserve">📊 SECTION 5: REPORTS &amp; ANALYTICS</w:t>
      </w:r>
    </w:p>
    <w:p>
      <w:pPr>
        <w:pStyle w:val="Heading2"/>
      </w:pPr>
      <w:r>
        <w:t xml:space="preserve">5.1 Core Reports Available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00"/>
        <w:gridCol w:w="6660"/>
      </w:tblGrid>
      <w:tr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C00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4E78"/>
              </w:rPr>
              <w:t xml:space="preserve">Report</w:t>
            </w:r>
          </w:p>
        </w:tc>
        <w:tc>
          <w:tcPr>
            <w:tcW w:type="dxa" w:w="6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C00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4E78"/>
              </w:rPr>
              <w:t xml:space="preserve">Description</w:t>
            </w:r>
          </w:p>
        </w:tc>
      </w:tr>
      <w:tr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8D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Reconciliation Summary</w:t>
            </w:r>
          </w:p>
        </w:tc>
        <w:tc>
          <w:tcPr>
            <w:tcW w:type="dxa" w:w="6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8D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Overview of matched vs. unmatched invoices</w:t>
            </w:r>
          </w:p>
        </w:tc>
      </w:tr>
      <w:tr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Detailed Mismatch</w:t>
            </w:r>
          </w:p>
        </w:tc>
        <w:tc>
          <w:tcPr>
            <w:tcW w:type="dxa" w:w="6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Line-by-line breakdown of all discrepancies</w:t>
            </w:r>
          </w:p>
        </w:tc>
      </w:tr>
      <w:tr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8D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Variance Breakdown</w:t>
            </w:r>
          </w:p>
        </w:tc>
        <w:tc>
          <w:tcPr>
            <w:tcW w:type="dxa" w:w="6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8D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Analysis of mismatch reasons</w:t>
            </w:r>
          </w:p>
        </w:tc>
      </w:tr>
      <w:tr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ITC Eligibility</w:t>
            </w:r>
          </w:p>
        </w:tc>
        <w:tc>
          <w:tcPr>
            <w:tcW w:type="dxa" w:w="6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Summary of eligible vs. ineligible credit</w:t>
            </w:r>
          </w:p>
        </w:tc>
      </w:tr>
      <w:tr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8D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Vendor Compliance</w:t>
            </w:r>
          </w:p>
        </w:tc>
        <w:tc>
          <w:tcPr>
            <w:tcW w:type="dxa" w:w="6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8D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Supplier scorecard and health assessment</w:t>
            </w:r>
          </w:p>
        </w:tc>
      </w:tr>
      <w:tr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GSTR-9 Preview</w:t>
            </w:r>
          </w:p>
        </w:tc>
        <w:tc>
          <w:tcPr>
            <w:tcW w:type="dxa" w:w="6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Annual filing data snapshot</w:t>
            </w:r>
          </w:p>
        </w:tc>
      </w:tr>
      <w:tr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8D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GSTR-9C Statement</w:t>
            </w:r>
          </w:p>
        </w:tc>
        <w:tc>
          <w:tcPr>
            <w:tcW w:type="dxa" w:w="6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8D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Reconciliation statement for audit</w:t>
            </w:r>
          </w:p>
        </w:tc>
      </w:tr>
      <w:tr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HSN Summary</w:t>
            </w:r>
          </w:p>
        </w:tc>
        <w:tc>
          <w:tcPr>
            <w:tcW w:type="dxa" w:w="6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Product-wise purchase analysis</w:t>
            </w:r>
          </w:p>
        </w:tc>
      </w:tr>
      <w:tr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8D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Rule 42 Report</w:t>
            </w:r>
          </w:p>
        </w:tc>
        <w:tc>
          <w:tcPr>
            <w:tcW w:type="dxa" w:w="6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8D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Identification of blocked ITC items</w:t>
            </w:r>
          </w:p>
        </w:tc>
      </w:tr>
      <w:tr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Analytics Dashboard</w:t>
            </w:r>
          </w:p>
        </w:tc>
        <w:tc>
          <w:tcPr>
            <w:tcW w:type="dxa" w:w="6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Comprehensive trend analysis</w:t>
            </w:r>
          </w:p>
        </w:tc>
      </w:tr>
    </w:tbl>
    <w:p>
      <w:pPr>
        <w:spacing w:after="300"/>
      </w:pPr>
      <w:r>
        <w:t xml:space="preserve"/>
      </w:r>
    </w:p>
    <w:p>
      <w:r>
        <w:br w:type="page"/>
      </w:r>
    </w:p>
    <w:p>
      <w:pPr>
        <w:pStyle w:val="Heading1"/>
        <w:shd w:fill="70AD47" w:val="clear"/>
      </w:pPr>
      <w:r>
        <w:rPr>
          <w:color w:val="FFFFFF"/>
        </w:rPr>
        <w:t xml:space="preserve">💡 BEST PRACTICES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fill="D9E8F5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color w:val="0070C0"/>
                <w:sz w:val="26"/>
                <w:szCs w:val="26"/>
              </w:rPr>
              <w:t xml:space="preserve">💾 Data Quality</w:t>
            </w:r>
          </w:p>
          <w:p>
            <w:pPr>
              <w:spacing w:after="100"/>
            </w:pPr>
            <w:r>
              <w:rPr>
                <w:sz w:val="22"/>
                <w:szCs w:val="22"/>
              </w:rPr>
              <w:t xml:space="preserve">Keep your source files clean and standardized. Use consistent naming conventions, uppercase GSTINs, and validate all amounts before uploading.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fill="E2EFD9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color w:val="0070C0"/>
                <w:sz w:val="26"/>
                <w:szCs w:val="26"/>
              </w:rPr>
              <w:t xml:space="preserve">📅 Monthly Rhythm</w:t>
            </w:r>
          </w:p>
          <w:p>
            <w:pPr>
              <w:spacing w:after="100"/>
            </w:pPr>
            <w:r>
              <w:rPr>
                <w:sz w:val="22"/>
                <w:szCs w:val="22"/>
              </w:rPr>
              <w:t xml:space="preserve">Reconcile every month, don't wait until year-end. This prevents issues from piling up and ensures easy compliance.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fill="FCE4D6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color w:val="0070C0"/>
                <w:sz w:val="26"/>
                <w:szCs w:val="26"/>
              </w:rPr>
              <w:t xml:space="preserve">🔍 Audit Ready</w:t>
            </w:r>
          </w:p>
          <w:p>
            <w:pPr>
              <w:spacing w:after="100"/>
            </w:pPr>
            <w:r>
              <w:rPr>
                <w:sz w:val="22"/>
                <w:szCs w:val="22"/>
              </w:rPr>
              <w:t xml:space="preserve">Use the AI Insights screen to understand your compliance gaps. Generate audit-ready reports regularly.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fill="F4CCFF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color w:val="0070C0"/>
                <w:sz w:val="26"/>
                <w:szCs w:val="26"/>
              </w:rPr>
              <w:t xml:space="preserve">🤝 Vendor Tracking</w:t>
            </w:r>
          </w:p>
          <w:p>
            <w:pPr>
              <w:spacing w:after="100"/>
            </w:pPr>
            <w:r>
              <w:rPr>
                <w:sz w:val="22"/>
                <w:szCs w:val="22"/>
              </w:rPr>
              <w:t xml:space="preserve">Monitor your vendor scorecard monthly. Identify non-filing suppliers early to reduce ITC blocking risks.</w:t>
            </w:r>
          </w:p>
        </w:tc>
      </w:tr>
    </w:tbl>
    <w:p>
      <w:r>
        <w:br w:type="page"/>
      </w:r>
    </w:p>
    <w:p>
      <w:pPr>
        <w:pStyle w:val="Heading1"/>
        <w:shd w:fill="0070C0" w:val="clear"/>
      </w:pPr>
      <w:r>
        <w:rPr>
          <w:color w:val="FFFFFF"/>
        </w:rPr>
        <w:t xml:space="preserve">📞 SUPPORT &amp; RESOURCES</w:t>
      </w:r>
    </w:p>
    <w:p>
      <w:pPr>
        <w:spacing w:after="15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7360"/>
      </w:tblGrid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4"/>
                <w:szCs w:val="24"/>
              </w:rPr>
              <w:t xml:space="preserve">📧 Email Support</w:t>
            </w:r>
          </w:p>
        </w:tc>
        <w:tc>
          <w:tcPr>
            <w:tcW w:type="dxa" w:w="7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0070C0"/>
                <w:sz w:val="22"/>
                <w:szCs w:val="22"/>
              </w:rPr>
              <w:t xml:space="preserve">support@bigreddyfintaxpro.com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7360"/>
      </w:tblGrid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2EFD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4"/>
                <w:szCs w:val="24"/>
              </w:rPr>
              <w:t xml:space="preserve">☎️ Phone</w:t>
            </w:r>
          </w:p>
        </w:tc>
        <w:tc>
          <w:tcPr>
            <w:tcW w:type="dxa" w:w="7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0070C0"/>
                <w:sz w:val="22"/>
                <w:szCs w:val="22"/>
              </w:rPr>
              <w:t xml:space="preserve">1-800-GSTHELP (9 AM - 6 PM IST)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7360"/>
      </w:tblGrid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CE4D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4"/>
                <w:szCs w:val="24"/>
              </w:rPr>
              <w:t xml:space="preserve">💬 Live Chat</w:t>
            </w:r>
          </w:p>
        </w:tc>
        <w:tc>
          <w:tcPr>
            <w:tcW w:type="dxa" w:w="7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0070C0"/>
                <w:sz w:val="22"/>
                <w:szCs w:val="22"/>
              </w:rPr>
              <w:t xml:space="preserve">Available 24/7 on website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7360"/>
      </w:tblGrid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CC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4"/>
                <w:szCs w:val="24"/>
              </w:rPr>
              <w:t xml:space="preserve">❓ In-App Help</w:t>
            </w:r>
          </w:p>
        </w:tc>
        <w:tc>
          <w:tcPr>
            <w:tcW w:type="dxa" w:w="7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0070C0"/>
                <w:sz w:val="22"/>
                <w:szCs w:val="22"/>
              </w:rPr>
              <w:t xml:space="preserve">Click '?' icon on any screen</w:t>
            </w:r>
          </w:p>
        </w:tc>
      </w:tr>
    </w:tbl>
    <w:p>
      <w:pPr>
        <w:spacing w:before="400"/>
      </w:pPr>
      <w:r>
        <w:t xml:space="preserve"/>
      </w:r>
    </w:p>
    <w:p>
      <w:pPr>
        <w:spacing w:after="100" w:before="100"/>
        <w:jc w:val="center"/>
      </w:pPr>
      <w:r>
        <w:rPr>
          <w:b/>
          <w:bCs/>
          <w:color w:val="0070C0"/>
          <w:sz w:val="26"/>
          <w:szCs w:val="26"/>
        </w:rPr>
        <w:t xml:space="preserve">🎉 Ready to Master GST Compliance? 🎉</w:t>
      </w:r>
    </w:p>
    <w:p>
      <w:pPr>
        <w:jc w:val="center"/>
      </w:pPr>
      <w:r>
        <w:rPr>
          <w:color w:val="666666"/>
          <w:sz w:val="22"/>
          <w:szCs w:val="22"/>
        </w:rPr>
        <w:t xml:space="preserve">Start with your first monthly reconciliation today!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▸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Calibri" w:cs="Calibri" w:eastAsia="Calibri" w:hAnsi="Calibri"/>
      <w:b/>
      <w:bCs/>
      <w:color w:val="FFFFF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00" w:before="180"/>
      <w:outlineLvl w:val="1"/>
    </w:pPr>
    <w:rPr>
      <w:rFonts w:ascii="Calibri" w:cs="Calibri" w:eastAsia="Calibri" w:hAnsi="Calibri"/>
      <w:b/>
      <w:bCs/>
      <w:color w:val="1F4E78"/>
      <w:sz w:val="28"/>
      <w:szCs w:val="28"/>
    </w:rPr>
  </w:style>
  <w:style w:type="paragraph" w:styleId="Heading3">
    <w:name w:val="Heading 3"/>
    <w:basedOn w:val="Normal"/>
    <w:next w:val="Normal"/>
    <w:qFormat/>
    <w:pPr>
      <w:spacing w:after="80" w:before="120"/>
      <w:outlineLvl w:val="2"/>
    </w:pPr>
    <w:rPr>
      <w:rFonts w:ascii="Calibri" w:cs="Calibri" w:eastAsia="Calibri" w:hAnsi="Calibri"/>
      <w:b/>
      <w:bCs/>
      <w:color w:val="70AD47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2026-06-23T14:21:28.051Z</dcterms:created>
  <dcterms:modified xsi:type="dcterms:W3CDTF">2026-06-23T14:21:28.052Z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